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1F" w:rsidRDefault="003030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0FAE60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6704;visibility:hidden">
            <o:lock v:ext="edit" selection="t"/>
          </v:shape>
        </w:pict>
      </w:r>
      <w:r>
        <w:pict w14:anchorId="0457E0A8">
          <v:shape id="_x0000_s1027" type="#_x0000_t136" style="position:absolute;margin-left:0;margin-top:0;width:50pt;height:50pt;z-index:251657728;visibility:hidden">
            <o:lock v:ext="edit" selection="t"/>
          </v:shape>
        </w:pict>
      </w:r>
      <w:r>
        <w:pict w14:anchorId="01FCFBD5"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:rsidR="004F181F" w:rsidRDefault="0030302D">
      <w:pPr>
        <w:rPr>
          <w:sz w:val="20"/>
          <w:szCs w:val="20"/>
        </w:rPr>
      </w:pPr>
      <w:r>
        <w:rPr>
          <w:sz w:val="20"/>
          <w:szCs w:val="20"/>
        </w:rPr>
        <w:t>*The intent of this product is to be a resource; not a replacement for institutional protocols. Standard 1 of AmSECT’s Standards and Guidelines for Perfusion Practice.</w:t>
      </w: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These Standards and Guidelines may also be superseded by the judgement of the healthcare professional taking into account the facts and circumstances of the individual case.</w:t>
      </w:r>
    </w:p>
    <w:p w:rsidR="004F181F" w:rsidRDefault="004F181F"/>
    <w:tbl>
      <w:tblPr>
        <w:tblStyle w:val="a5"/>
        <w:tblW w:w="9360" w:type="dxa"/>
        <w:tblLayout w:type="fixed"/>
        <w:tblLook w:val="0000" w:firstRow="0" w:lastRow="0" w:firstColumn="0" w:lastColumn="0" w:noHBand="0" w:noVBand="0"/>
      </w:tblPr>
      <w:tblGrid>
        <w:gridCol w:w="2069"/>
        <w:gridCol w:w="811"/>
        <w:gridCol w:w="6480"/>
      </w:tblGrid>
      <w:tr w:rsidR="004F181F">
        <w:trPr>
          <w:trHeight w:val="238"/>
        </w:trPr>
        <w:tc>
          <w:tcPr>
            <w:tcW w:w="2069" w:type="dxa"/>
          </w:tcPr>
          <w:p w:rsidR="004F181F" w:rsidRDefault="0030302D">
            <w:pPr>
              <w:ind w:left="-108"/>
              <w:rPr>
                <w:b/>
              </w:rPr>
            </w:pPr>
            <w:r>
              <w:rPr>
                <w:b/>
              </w:rPr>
              <w:t>SUBJECT/TITLE</w:t>
            </w:r>
          </w:p>
        </w:tc>
        <w:tc>
          <w:tcPr>
            <w:tcW w:w="7291" w:type="dxa"/>
            <w:gridSpan w:val="2"/>
          </w:tcPr>
          <w:p w:rsidR="004F181F" w:rsidRDefault="0030302D" w:rsidP="0030302D">
            <w:pPr>
              <w:rPr>
                <w:b/>
              </w:rPr>
            </w:pPr>
            <w:bookmarkStart w:id="0" w:name="_GoBack"/>
            <w:r>
              <w:rPr>
                <w:b/>
              </w:rPr>
              <w:t>MALIGNANT HYPER</w:t>
            </w:r>
            <w:r>
              <w:rPr>
                <w:b/>
              </w:rPr>
              <w:t>THERMIA</w:t>
            </w:r>
            <w:bookmarkEnd w:id="0"/>
          </w:p>
        </w:tc>
      </w:tr>
      <w:tr w:rsidR="004F181F">
        <w:trPr>
          <w:trHeight w:val="238"/>
        </w:trPr>
        <w:tc>
          <w:tcPr>
            <w:tcW w:w="2069" w:type="dxa"/>
          </w:tcPr>
          <w:p w:rsidR="004F181F" w:rsidRDefault="004F181F">
            <w:pPr>
              <w:ind w:left="-108"/>
              <w:rPr>
                <w:b/>
              </w:rPr>
            </w:pPr>
          </w:p>
        </w:tc>
        <w:tc>
          <w:tcPr>
            <w:tcW w:w="811" w:type="dxa"/>
          </w:tcPr>
          <w:p w:rsidR="004F181F" w:rsidRDefault="004F181F"/>
        </w:tc>
        <w:tc>
          <w:tcPr>
            <w:tcW w:w="6480" w:type="dxa"/>
          </w:tcPr>
          <w:p w:rsidR="004F181F" w:rsidRDefault="004F181F"/>
        </w:tc>
      </w:tr>
      <w:tr w:rsidR="004F181F">
        <w:trPr>
          <w:trHeight w:val="238"/>
        </w:trPr>
        <w:tc>
          <w:tcPr>
            <w:tcW w:w="2069" w:type="dxa"/>
          </w:tcPr>
          <w:p w:rsidR="004F181F" w:rsidRDefault="0030302D">
            <w:pPr>
              <w:ind w:left="-108"/>
              <w:rPr>
                <w:b/>
              </w:rPr>
            </w:pPr>
            <w:r>
              <w:rPr>
                <w:b/>
              </w:rPr>
              <w:t>PURPOSE:</w:t>
            </w:r>
          </w:p>
        </w:tc>
        <w:tc>
          <w:tcPr>
            <w:tcW w:w="7291" w:type="dxa"/>
            <w:gridSpan w:val="2"/>
          </w:tcPr>
          <w:p w:rsidR="004F181F" w:rsidRDefault="0030302D">
            <w:pPr>
              <w:pStyle w:val="Heading4"/>
              <w:rPr>
                <w:i w:val="0"/>
                <w:color w:val="000000"/>
              </w:rPr>
            </w:pPr>
            <w:bookmarkStart w:id="1" w:name="_heading=h.w6gn1z8xxna7" w:colFirst="0" w:colLast="0"/>
            <w:bookmarkEnd w:id="1"/>
            <w:r>
              <w:rPr>
                <w:i w:val="0"/>
                <w:color w:val="000000"/>
              </w:rPr>
              <w:t>To provide a guideline and resource for a patient with a previously</w:t>
            </w:r>
          </w:p>
          <w:p w:rsidR="004F181F" w:rsidRDefault="0030302D">
            <w:pPr>
              <w:pStyle w:val="Heading4"/>
              <w:rPr>
                <w:i w:val="0"/>
                <w:color w:val="000000"/>
              </w:rPr>
            </w:pPr>
            <w:bookmarkStart w:id="2" w:name="_heading=h.tbyoyc95p05a" w:colFirst="0" w:colLast="0"/>
            <w:bookmarkEnd w:id="2"/>
            <w:r>
              <w:rPr>
                <w:i w:val="0"/>
                <w:color w:val="000000"/>
              </w:rPr>
              <w:t>diagnosed risk or sudden onset of Malignant Hyperthermia.</w:t>
            </w:r>
          </w:p>
        </w:tc>
      </w:tr>
      <w:tr w:rsidR="004F181F">
        <w:trPr>
          <w:trHeight w:val="238"/>
        </w:trPr>
        <w:tc>
          <w:tcPr>
            <w:tcW w:w="2069" w:type="dxa"/>
          </w:tcPr>
          <w:p w:rsidR="004F181F" w:rsidRDefault="004F181F">
            <w:pPr>
              <w:ind w:left="-108"/>
              <w:rPr>
                <w:b/>
              </w:rPr>
            </w:pPr>
          </w:p>
        </w:tc>
        <w:tc>
          <w:tcPr>
            <w:tcW w:w="811" w:type="dxa"/>
          </w:tcPr>
          <w:p w:rsidR="004F181F" w:rsidRDefault="004F181F"/>
        </w:tc>
        <w:tc>
          <w:tcPr>
            <w:tcW w:w="6480" w:type="dxa"/>
          </w:tcPr>
          <w:p w:rsidR="004F181F" w:rsidRDefault="004F181F"/>
        </w:tc>
      </w:tr>
      <w:tr w:rsidR="004F181F">
        <w:trPr>
          <w:trHeight w:val="477"/>
        </w:trPr>
        <w:tc>
          <w:tcPr>
            <w:tcW w:w="2069" w:type="dxa"/>
          </w:tcPr>
          <w:p w:rsidR="004F181F" w:rsidRDefault="0030302D">
            <w:pPr>
              <w:widowControl w:val="0"/>
              <w:tabs>
                <w:tab w:val="left" w:pos="576"/>
              </w:tabs>
              <w:ind w:left="-108"/>
              <w:rPr>
                <w:b/>
              </w:rPr>
            </w:pPr>
            <w:r>
              <w:rPr>
                <w:b/>
              </w:rPr>
              <w:t>TARGET POPULATION:</w:t>
            </w:r>
          </w:p>
        </w:tc>
        <w:tc>
          <w:tcPr>
            <w:tcW w:w="7291" w:type="dxa"/>
            <w:gridSpan w:val="2"/>
          </w:tcPr>
          <w:p w:rsidR="004F181F" w:rsidRDefault="0030302D">
            <w:r>
              <w:t>Patients with a previously diagnosed risk or sudden onset of Malignant Hyperthermia.</w:t>
            </w:r>
          </w:p>
        </w:tc>
      </w:tr>
      <w:tr w:rsidR="004F181F">
        <w:trPr>
          <w:trHeight w:val="238"/>
        </w:trPr>
        <w:tc>
          <w:tcPr>
            <w:tcW w:w="2069" w:type="dxa"/>
          </w:tcPr>
          <w:p w:rsidR="004F181F" w:rsidRDefault="004F181F">
            <w:pPr>
              <w:ind w:left="-108"/>
              <w:rPr>
                <w:b/>
              </w:rPr>
            </w:pPr>
          </w:p>
        </w:tc>
        <w:tc>
          <w:tcPr>
            <w:tcW w:w="811" w:type="dxa"/>
          </w:tcPr>
          <w:p w:rsidR="004F181F" w:rsidRDefault="004F181F"/>
        </w:tc>
        <w:tc>
          <w:tcPr>
            <w:tcW w:w="6480" w:type="dxa"/>
          </w:tcPr>
          <w:p w:rsidR="004F181F" w:rsidRDefault="004F181F"/>
        </w:tc>
      </w:tr>
      <w:tr w:rsidR="004F181F">
        <w:trPr>
          <w:trHeight w:val="955"/>
        </w:trPr>
        <w:tc>
          <w:tcPr>
            <w:tcW w:w="2069" w:type="dxa"/>
          </w:tcPr>
          <w:p w:rsidR="004F181F" w:rsidRDefault="0030302D">
            <w:pPr>
              <w:ind w:left="-108"/>
              <w:rPr>
                <w:b/>
              </w:rPr>
            </w:pPr>
            <w:r>
              <w:rPr>
                <w:b/>
              </w:rPr>
              <w:t>DEFINITIONS:</w:t>
            </w:r>
          </w:p>
        </w:tc>
        <w:tc>
          <w:tcPr>
            <w:tcW w:w="7291" w:type="dxa"/>
            <w:gridSpan w:val="2"/>
          </w:tcPr>
          <w:p w:rsidR="004F181F" w:rsidRDefault="0030302D">
            <w:r>
              <w:t xml:space="preserve">Malignant Hyperthermia (MH) is a rare (1:100,000) disorder, found most prevalent in the younger, male population involving the regulation of calcium in skeletal muscle. </w:t>
            </w:r>
          </w:p>
          <w:p w:rsidR="004F181F" w:rsidRDefault="004F181F"/>
          <w:p w:rsidR="004F181F" w:rsidRDefault="0030302D">
            <w:r>
              <w:t>MH is a dominantly inherited disorder of skeletal muscle that upon exposure to potent</w:t>
            </w:r>
            <w:r>
              <w:t xml:space="preserve"> volatile anesthetics (halothane, isoflurane, sevoflurane, desflurane, etc.) and succinylcholine; may lead to a serious life threatening reaction.</w:t>
            </w:r>
          </w:p>
          <w:p w:rsidR="004F181F" w:rsidRDefault="004F181F"/>
          <w:p w:rsidR="004F181F" w:rsidRDefault="0030302D">
            <w:r>
              <w:t>Ryanodine Receptor gene (RYR1) – the mutation of this gene is responsible for MH. This gene alteration cause</w:t>
            </w:r>
            <w:r>
              <w:t xml:space="preserve">s an increased release of calcium from the sarcoplasmic reticulum of the skeletal muscle. </w:t>
            </w:r>
          </w:p>
          <w:p w:rsidR="004F181F" w:rsidRDefault="0030302D">
            <w:r>
              <w:t>This increased calcium binding to the myofilament of the muscle causes irregular muscle contraction i.e.; rigidity. It’s this rigidity that leads to a hypermetabolic</w:t>
            </w:r>
            <w:r>
              <w:t xml:space="preserve"> state. (Hyperthermia, tachycardia, tachypnea, hypercarbia, increased oxygen consumption, acidosis, hyperkalemia, muscle rigidity.) </w:t>
            </w:r>
          </w:p>
          <w:p w:rsidR="004F181F" w:rsidRDefault="004F181F"/>
          <w:p w:rsidR="004F181F" w:rsidRDefault="0030302D">
            <w:r>
              <w:t>Dantrolene binds to the mutated R1Y1 gene to reduce the activity in the sodium channels. Dantrolene (Dantrium) is availabl</w:t>
            </w:r>
            <w:r>
              <w:t xml:space="preserve">e in 20 mg vials that require 60 cc of sterile water to reconstitute. The average adult may require 8-10 ampules. </w:t>
            </w:r>
          </w:p>
          <w:p w:rsidR="004F181F" w:rsidRDefault="0030302D">
            <w:r>
              <w:t>Ryanodex is an FDA approved alternative to Dantrolene, available in 250 mg ampoules. These ampoules require only 5 cc of sterile water for re</w:t>
            </w:r>
            <w:r>
              <w:t>constitution.</w:t>
            </w:r>
          </w:p>
        </w:tc>
      </w:tr>
      <w:tr w:rsidR="004F181F">
        <w:trPr>
          <w:trHeight w:val="101"/>
        </w:trPr>
        <w:tc>
          <w:tcPr>
            <w:tcW w:w="2069" w:type="dxa"/>
          </w:tcPr>
          <w:p w:rsidR="004F181F" w:rsidRDefault="004F181F">
            <w:pPr>
              <w:rPr>
                <w:b/>
              </w:rPr>
            </w:pPr>
          </w:p>
        </w:tc>
        <w:tc>
          <w:tcPr>
            <w:tcW w:w="811" w:type="dxa"/>
          </w:tcPr>
          <w:p w:rsidR="004F181F" w:rsidRDefault="004F181F"/>
        </w:tc>
        <w:tc>
          <w:tcPr>
            <w:tcW w:w="6480" w:type="dxa"/>
          </w:tcPr>
          <w:p w:rsidR="004F181F" w:rsidRDefault="004F181F"/>
        </w:tc>
      </w:tr>
    </w:tbl>
    <w:p w:rsidR="004F181F" w:rsidRDefault="0030302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POLICY: </w:t>
      </w:r>
    </w:p>
    <w:p w:rsidR="004F181F" w:rsidRDefault="00303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lastRenderedPageBreak/>
        <w:t xml:space="preserve">All cardiac team members will be responsible for the early detection of the signs and symptoms of MH whenever possible. </w:t>
      </w:r>
    </w:p>
    <w:p w:rsidR="004F181F" w:rsidRDefault="00303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Diagnosis of MH is often difficult pre-op and intraop because many of these signs and symptoms are masked by the abnormality of physiology that the basis of CPB offers. </w:t>
      </w:r>
    </w:p>
    <w:p w:rsidR="004F181F" w:rsidRDefault="00303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earliest clinical clue may be an increased end tidal CO2 level, despite an increas</w:t>
      </w:r>
      <w:r>
        <w:t xml:space="preserve">ed minute ventilation. </w:t>
      </w:r>
    </w:p>
    <w:p w:rsidR="004F181F" w:rsidRDefault="00303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In addition, the team members shall be aware of the policies and procedures for the sudden onset of a MH diagnosis.</w:t>
      </w:r>
    </w:p>
    <w:p w:rsidR="004F181F" w:rsidRDefault="0030302D">
      <w:pPr>
        <w:tabs>
          <w:tab w:val="left" w:pos="0"/>
        </w:tabs>
      </w:pPr>
      <w:r>
        <w:rPr>
          <w:b/>
        </w:rPr>
        <w:t xml:space="preserve">PERFUSION PUMP CONSIDERATIONS: </w:t>
      </w:r>
    </w:p>
    <w:p w:rsidR="004F181F" w:rsidRDefault="004F181F">
      <w:pPr>
        <w:tabs>
          <w:tab w:val="left" w:pos="0"/>
        </w:tabs>
      </w:pPr>
    </w:p>
    <w:p w:rsidR="004F181F" w:rsidRDefault="0030302D">
      <w:pPr>
        <w:tabs>
          <w:tab w:val="left" w:pos="0"/>
        </w:tabs>
      </w:pPr>
      <w:r>
        <w:t>In order to prepare to adequately manage a MH patient, each patient should have the following in use and/or available urgently:</w:t>
      </w:r>
    </w:p>
    <w:p w:rsidR="004F181F" w:rsidRDefault="0030302D">
      <w:pPr>
        <w:numPr>
          <w:ilvl w:val="0"/>
          <w:numId w:val="4"/>
        </w:numPr>
        <w:tabs>
          <w:tab w:val="left" w:pos="0"/>
        </w:tabs>
      </w:pPr>
      <w:r>
        <w:t>In line ABG monitoring</w:t>
      </w:r>
    </w:p>
    <w:p w:rsidR="004F181F" w:rsidRDefault="0030302D">
      <w:pPr>
        <w:numPr>
          <w:ilvl w:val="0"/>
          <w:numId w:val="4"/>
        </w:numPr>
        <w:tabs>
          <w:tab w:val="left" w:pos="0"/>
        </w:tabs>
      </w:pPr>
      <w:r>
        <w:t>Ability to create hypothermia on CPB -heater/cooler available and ready for use</w:t>
      </w:r>
    </w:p>
    <w:p w:rsidR="004F181F" w:rsidRDefault="0030302D">
      <w:pPr>
        <w:numPr>
          <w:ilvl w:val="0"/>
          <w:numId w:val="4"/>
        </w:numPr>
        <w:tabs>
          <w:tab w:val="left" w:pos="0"/>
        </w:tabs>
      </w:pPr>
      <w:r>
        <w:t>Patient temperature manag</w:t>
      </w:r>
      <w:r>
        <w:t>ement (core/nasopharyngeal) until the patient leaves the operating room</w:t>
      </w:r>
    </w:p>
    <w:p w:rsidR="004F181F" w:rsidRDefault="0030302D">
      <w:pPr>
        <w:numPr>
          <w:ilvl w:val="0"/>
          <w:numId w:val="4"/>
        </w:numPr>
        <w:tabs>
          <w:tab w:val="left" w:pos="0"/>
        </w:tabs>
      </w:pPr>
      <w:r>
        <w:t xml:space="preserve">Backup oxygenator, supplies for changeout </w:t>
      </w:r>
    </w:p>
    <w:p w:rsidR="004F181F" w:rsidRDefault="0030302D">
      <w:pPr>
        <w:numPr>
          <w:ilvl w:val="0"/>
          <w:numId w:val="4"/>
        </w:numPr>
        <w:tabs>
          <w:tab w:val="left" w:pos="0"/>
        </w:tabs>
      </w:pPr>
      <w:r>
        <w:t xml:space="preserve">MH cart location- each institution should have a designated cart with all necessary supplies for an MH emergency. (KNOW the location of this </w:t>
      </w:r>
      <w:r>
        <w:t>cart in your institution)</w:t>
      </w:r>
    </w:p>
    <w:p w:rsidR="004F181F" w:rsidRDefault="0030302D">
      <w:pPr>
        <w:numPr>
          <w:ilvl w:val="0"/>
          <w:numId w:val="4"/>
        </w:numPr>
        <w:tabs>
          <w:tab w:val="left" w:pos="0"/>
        </w:tabs>
      </w:pPr>
      <w:r>
        <w:t>Hemoconcentrator and supplies for possible active filtering of K+</w:t>
      </w:r>
    </w:p>
    <w:p w:rsidR="004F181F" w:rsidRDefault="0030302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</w:pPr>
      <w:r>
        <w:rPr>
          <w:b/>
          <w:color w:val="000000"/>
        </w:rPr>
        <w:t>PROCEDURE:</w:t>
      </w:r>
      <w:r>
        <w:rPr>
          <w:color w:val="000000"/>
        </w:rPr>
        <w:t xml:space="preserve"> </w:t>
      </w:r>
    </w:p>
    <w:p w:rsidR="004F181F" w:rsidRDefault="00303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</w:pPr>
      <w:r>
        <w:t>Diagnosis: Signs of hypermetabolism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Tachycardia (high HR)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Hypercarbia (high PCO2)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Acidosis (low pH)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Hyperthermia (high temperature)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Decreased oxygen saturation (low PaO2 despite 100% FIO2)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Unexplained increase in end-tidal CO2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Unexplained significantly high lactate level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Hyperkalemia (high K)</w:t>
      </w:r>
    </w:p>
    <w:p w:rsidR="004F181F" w:rsidRDefault="00303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Other signs and symptoms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Generalized muscle rigidity/hypercontractility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Myoglobinuria - the pr</w:t>
      </w:r>
      <w:r>
        <w:t>esence of myoglobin (oxygen reserve in muscle cells)in the urine, usually dark red/brown urine and is associated with rhabdomyolysis or muscle destruction.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Hyperkalemia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Elevated CK-MB (Creatine Phosphokinase- MB = found in myocardium; therefore, used to indicate myocardial cell wall injury) normal values = 3-5% or 5-25 IU/L</w:t>
      </w:r>
    </w:p>
    <w:p w:rsidR="004F181F" w:rsidRDefault="00303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Management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Notification of diagnosis – MH cart urgently into OR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Discontinue volatile agents (Isoflu</w:t>
      </w:r>
      <w:r>
        <w:t>rane) and succinylcholine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*Anesthesia may switch to propofol and an activated charcoal filter.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Call MHAUS hotline (1-800-644-9397)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Hyperventilate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Anesthesia to give Dantrolene 2.5 mg/kg into IV or CPB pump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*Anesthesia may continue post op drip 24 hours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1 m</w:t>
      </w:r>
      <w:r>
        <w:t>g/kg every 4-8 hours, for 24-48 hours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Obtain ABG asap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Actively cool patient – turn off blanket warmers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If serum potassium is &gt;5.9 mEq/L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Calcium chloride IV 10 mg/kg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Sodium Bicarbonate IV 1-2 mEq/kg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10 units Insulin and 50 ml 50% Dextrose IV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Check hourly glucose levels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Treat Arrhythmias- Anesthesia may use Amiodarone or Lidocaine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Do not use Calcium Channel Blockers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Once in unit, patient blood samples can be sent to the laboratory for additional screening/testing/diagnosis.</w:t>
      </w:r>
    </w:p>
    <w:p w:rsidR="004F181F" w:rsidRDefault="003030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ECMO is considered t</w:t>
      </w:r>
      <w:r>
        <w:t>o be a viable option for safe, emergent recovery from MH.</w:t>
      </w:r>
    </w:p>
    <w:p w:rsidR="004F181F" w:rsidRDefault="0030302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Once on ECMO, CRRT may be used for normalization of electrolytes</w:t>
      </w:r>
    </w:p>
    <w:p w:rsidR="004F181F" w:rsidRDefault="004F181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  <w:rPr>
          <w:b/>
        </w:rPr>
      </w:pPr>
    </w:p>
    <w:p w:rsidR="004F181F" w:rsidRDefault="0030302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</w:pPr>
      <w:r>
        <w:rPr>
          <w:b/>
        </w:rPr>
        <w:t>CLINICAL ASSESSMENT/SCREENING</w:t>
      </w:r>
      <w:r>
        <w:t>:</w:t>
      </w:r>
    </w:p>
    <w:p w:rsidR="004F181F" w:rsidRDefault="00303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000000"/>
        </w:rPr>
        <w:t>Contraindications: None</w:t>
      </w:r>
    </w:p>
    <w:p w:rsidR="004F181F" w:rsidRDefault="00303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t>Laboratory diagnosis:  MH is an in vitro (sample taken outside a living organism)   contracture test or a DNA test. These lab samples are not run during an acute/emergency event, which stresses the necessity to be aware of the typical signs and symptoms, f</w:t>
      </w:r>
      <w:r>
        <w:t xml:space="preserve">or early detection and treatment. </w:t>
      </w:r>
    </w:p>
    <w:p w:rsidR="004F181F" w:rsidRDefault="0030302D">
      <w:pPr>
        <w:pStyle w:val="Heading1"/>
      </w:pPr>
      <w:r>
        <w:t>RELATED DOCUMENTS:</w:t>
      </w:r>
    </w:p>
    <w:p w:rsidR="004F181F" w:rsidRDefault="00303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t>n/a</w:t>
      </w:r>
    </w:p>
    <w:p w:rsidR="004F181F" w:rsidRDefault="0030302D">
      <w:pPr>
        <w:pStyle w:val="Heading1"/>
        <w:rPr>
          <w:b w:val="0"/>
          <w:i/>
          <w:color w:val="FF0000"/>
        </w:rPr>
      </w:pPr>
      <w:bookmarkStart w:id="3" w:name="_heading=h.1fob9te" w:colFirst="0" w:colLast="0"/>
      <w:bookmarkEnd w:id="3"/>
      <w:r>
        <w:t>REFERENCES:</w:t>
      </w:r>
    </w:p>
    <w:p w:rsidR="004F181F" w:rsidRDefault="0030302D">
      <w:pPr>
        <w:numPr>
          <w:ilvl w:val="0"/>
          <w:numId w:val="2"/>
        </w:numPr>
      </w:pPr>
      <w:r>
        <w:t>Butala, B., Busada, M., &amp;amp; Cormican, D. (2018). Malignant Hyperthermia: Review of Diagnosis and Treatment during Cardiac Surgery with Cardiopulmonary Bypass. Journal of Cardiothoracic</w:t>
      </w:r>
      <w:r>
        <w:t xml:space="preserve"> and Vascular Anesthesia, 32(6), 2771–2779. doi: 10.1053/j.jvca.2018.03.029</w:t>
      </w:r>
    </w:p>
    <w:p w:rsidR="004F181F" w:rsidRDefault="0030302D">
      <w:pPr>
        <w:numPr>
          <w:ilvl w:val="0"/>
          <w:numId w:val="2"/>
        </w:numPr>
      </w:pPr>
      <w:r>
        <w:t>Phillips, T., Zimmermann, E., Dukatz, C., Tully, M., Aziken, N., Raman, J., … Sera, V. (2020). Use of Cardiopulmonary Bypass for Treatment of Malignant Hyperthermia. Journal of Car</w:t>
      </w:r>
      <w:r>
        <w:t>diothoracic and Vascular Anesthesia, 34(3), 753–755. doi: 10.1053/j.jvca.2019.11.010</w:t>
      </w:r>
    </w:p>
    <w:p w:rsidR="004F181F" w:rsidRDefault="004F181F"/>
    <w:p w:rsidR="004F181F" w:rsidRDefault="0030302D">
      <w:pPr>
        <w:pStyle w:val="Heading1"/>
      </w:pPr>
      <w:bookmarkStart w:id="4" w:name="_heading=h.3znysh7" w:colFirst="0" w:colLast="0"/>
      <w:bookmarkEnd w:id="4"/>
      <w:r>
        <w:t>DISCLAIMER:</w:t>
      </w:r>
    </w:p>
    <w:p w:rsidR="004F181F" w:rsidRDefault="0030302D">
      <w:pPr>
        <w:rPr>
          <w:color w:val="26282A"/>
          <w:highlight w:val="white"/>
        </w:rPr>
      </w:pPr>
      <w:r>
        <w:rPr>
          <w:color w:val="26282A"/>
          <w:highlight w:val="white"/>
        </w:rPr>
        <w:t xml:space="preserve">In emergency situations, immediate life support measures of whatever appropriate nature come first with attention turning to measures described in this protocol/process as soon as possible and practical. </w:t>
      </w:r>
    </w:p>
    <w:p w:rsidR="004F181F" w:rsidRDefault="004F181F">
      <w:pPr>
        <w:rPr>
          <w:color w:val="26282A"/>
          <w:highlight w:val="white"/>
        </w:rPr>
      </w:pPr>
    </w:p>
    <w:p w:rsidR="004F181F" w:rsidRDefault="0030302D">
      <w:pPr>
        <w:rPr>
          <w:color w:val="26282A"/>
          <w:highlight w:val="white"/>
        </w:rPr>
      </w:pPr>
      <w:r>
        <w:rPr>
          <w:color w:val="26282A"/>
          <w:highlight w:val="white"/>
        </w:rPr>
        <w:t>This is a minimal protocol/process that may be exc</w:t>
      </w:r>
      <w:r>
        <w:rPr>
          <w:color w:val="26282A"/>
          <w:highlight w:val="white"/>
        </w:rPr>
        <w:t xml:space="preserve">eeded at any time based on the judgment of the involved patient care personnel. </w:t>
      </w:r>
    </w:p>
    <w:p w:rsidR="004F181F" w:rsidRDefault="004F181F">
      <w:pPr>
        <w:rPr>
          <w:color w:val="26282A"/>
          <w:highlight w:val="white"/>
        </w:rPr>
      </w:pPr>
    </w:p>
    <w:p w:rsidR="004F181F" w:rsidRDefault="0030302D">
      <w:pPr>
        <w:rPr>
          <w:color w:val="26282A"/>
          <w:highlight w:val="white"/>
        </w:rPr>
      </w:pPr>
      <w:r>
        <w:rPr>
          <w:color w:val="26282A"/>
          <w:highlight w:val="white"/>
        </w:rPr>
        <w:t xml:space="preserve">This protocol/process encourages high quality patient care but observing it cannot guarantee any specific patient outcome. </w:t>
      </w:r>
    </w:p>
    <w:p w:rsidR="004F181F" w:rsidRDefault="004F181F">
      <w:pPr>
        <w:rPr>
          <w:color w:val="26282A"/>
          <w:highlight w:val="white"/>
        </w:rPr>
      </w:pPr>
    </w:p>
    <w:p w:rsidR="004F181F" w:rsidRDefault="0030302D">
      <w:pPr>
        <w:rPr>
          <w:sz w:val="16"/>
          <w:szCs w:val="16"/>
        </w:rPr>
      </w:pPr>
      <w:r>
        <w:rPr>
          <w:color w:val="26282A"/>
          <w:highlight w:val="white"/>
        </w:rPr>
        <w:lastRenderedPageBreak/>
        <w:t>This protocol/process is subject to revision from</w:t>
      </w:r>
      <w:r>
        <w:rPr>
          <w:color w:val="26282A"/>
          <w:highlight w:val="white"/>
        </w:rPr>
        <w:t xml:space="preserve"> time to time, as warranted by the evolution of technology and practice.</w:t>
      </w:r>
    </w:p>
    <w:p w:rsidR="004F181F" w:rsidRDefault="004F181F">
      <w:pPr>
        <w:keepLines/>
        <w:spacing w:before="40" w:after="40"/>
        <w:ind w:left="720" w:hanging="720"/>
        <w:rPr>
          <w:color w:val="000000"/>
          <w:sz w:val="22"/>
          <w:szCs w:val="22"/>
        </w:rPr>
      </w:pPr>
    </w:p>
    <w:p w:rsidR="004F181F" w:rsidRDefault="0030302D">
      <w:r>
        <w:t xml:space="preserve">Review period: Review as changes occur or per institutional protocol. </w:t>
      </w:r>
    </w:p>
    <w:p w:rsidR="004F181F" w:rsidRDefault="0030302D">
      <w:r>
        <w:t>Original hard copies and computer copies of this protocol are stored under the supervision of the Chief Perfusi</w:t>
      </w:r>
      <w:r>
        <w:t xml:space="preserve">onist, Department of Cardiovascular Perfusion. </w:t>
      </w:r>
    </w:p>
    <w:p w:rsidR="004F181F" w:rsidRDefault="0030302D">
      <w:r>
        <w:t xml:space="preserve">Documents relating to patient care standards are developed according to the accepted hospital standards. </w:t>
      </w:r>
    </w:p>
    <w:p w:rsidR="004F181F" w:rsidRDefault="004F181F"/>
    <w:p w:rsidR="004F181F" w:rsidRDefault="0030302D">
      <w:pPr>
        <w:pStyle w:val="Heading1"/>
      </w:pPr>
      <w:r>
        <w:t xml:space="preserve">APPROVED BY: </w:t>
      </w:r>
      <w:r>
        <w:rPr>
          <w:b w:val="0"/>
          <w:i/>
          <w:color w:val="FF0000"/>
        </w:rPr>
        <w:t>(signature of CMO and CNE only required)</w:t>
      </w:r>
    </w:p>
    <w:tbl>
      <w:tblPr>
        <w:tblStyle w:val="a6"/>
        <w:tblW w:w="9360" w:type="dxa"/>
        <w:tblLayout w:type="fixed"/>
        <w:tblLook w:val="0000" w:firstRow="0" w:lastRow="0" w:firstColumn="0" w:lastColumn="0" w:noHBand="0" w:noVBand="0"/>
      </w:tblPr>
      <w:tblGrid>
        <w:gridCol w:w="2808"/>
        <w:gridCol w:w="4860"/>
        <w:gridCol w:w="736"/>
        <w:gridCol w:w="956"/>
      </w:tblGrid>
      <w:tr w:rsidR="004F181F">
        <w:tc>
          <w:tcPr>
            <w:tcW w:w="2808" w:type="dxa"/>
          </w:tcPr>
          <w:p w:rsidR="004F181F" w:rsidRDefault="0030302D">
            <w:bookmarkStart w:id="5" w:name="_heading=h.2et92p0" w:colFirst="0" w:colLast="0"/>
            <w:bookmarkEnd w:id="5"/>
            <w:r>
              <w:t>Source:</w:t>
            </w:r>
          </w:p>
        </w:tc>
        <w:tc>
          <w:tcPr>
            <w:tcW w:w="6552" w:type="dxa"/>
            <w:gridSpan w:val="3"/>
          </w:tcPr>
          <w:p w:rsidR="004F181F" w:rsidRDefault="0030302D">
            <w:r>
              <w:rPr>
                <w:color w:val="FF0000"/>
              </w:rPr>
              <w:t>(originating department/committee)</w:t>
            </w:r>
          </w:p>
        </w:tc>
      </w:tr>
      <w:tr w:rsidR="004F181F">
        <w:tc>
          <w:tcPr>
            <w:tcW w:w="2808" w:type="dxa"/>
          </w:tcPr>
          <w:p w:rsidR="004F181F" w:rsidRDefault="0030302D">
            <w:r>
              <w:t>Effective Date:</w:t>
            </w:r>
          </w:p>
        </w:tc>
        <w:tc>
          <w:tcPr>
            <w:tcW w:w="6552" w:type="dxa"/>
            <w:gridSpan w:val="3"/>
          </w:tcPr>
          <w:p w:rsidR="004F181F" w:rsidRDefault="0030302D">
            <w:pPr>
              <w:rPr>
                <w:color w:val="FF0000"/>
              </w:rPr>
            </w:pPr>
            <w:r>
              <w:rPr>
                <w:color w:val="FF0000"/>
              </w:rPr>
              <w:t>(can use ‘created date’ for this)</w:t>
            </w:r>
          </w:p>
        </w:tc>
      </w:tr>
      <w:tr w:rsidR="004F181F">
        <w:tc>
          <w:tcPr>
            <w:tcW w:w="2808" w:type="dxa"/>
          </w:tcPr>
          <w:p w:rsidR="004F181F" w:rsidRDefault="0030302D">
            <w:r>
              <w:t>Version Number:</w:t>
            </w:r>
          </w:p>
        </w:tc>
        <w:tc>
          <w:tcPr>
            <w:tcW w:w="6552" w:type="dxa"/>
            <w:gridSpan w:val="3"/>
          </w:tcPr>
          <w:p w:rsidR="004F181F" w:rsidRDefault="0030302D">
            <w:pPr>
              <w:rPr>
                <w:color w:val="FF0000"/>
              </w:rPr>
            </w:pPr>
            <w:r>
              <w:rPr>
                <w:color w:val="FF0000"/>
              </w:rPr>
              <w:t>(should match # of revisions, use 1.0 if new document)</w:t>
            </w:r>
          </w:p>
        </w:tc>
      </w:tr>
      <w:tr w:rsidR="004F181F">
        <w:tc>
          <w:tcPr>
            <w:tcW w:w="2808" w:type="dxa"/>
          </w:tcPr>
          <w:p w:rsidR="004F181F" w:rsidRDefault="0030302D">
            <w:r>
              <w:t>Date Revised:</w:t>
            </w:r>
          </w:p>
        </w:tc>
        <w:tc>
          <w:tcPr>
            <w:tcW w:w="6552" w:type="dxa"/>
            <w:gridSpan w:val="3"/>
          </w:tcPr>
          <w:p w:rsidR="004F181F" w:rsidRDefault="0030302D">
            <w:pPr>
              <w:pStyle w:val="Heading4"/>
              <w:rPr>
                <w:i w:val="0"/>
              </w:rPr>
            </w:pPr>
            <w:r>
              <w:rPr>
                <w:i w:val="0"/>
              </w:rPr>
              <w:t>MM/YYYY; all dates any content changes were made</w:t>
            </w:r>
          </w:p>
        </w:tc>
      </w:tr>
      <w:tr w:rsidR="004F181F">
        <w:tc>
          <w:tcPr>
            <w:tcW w:w="2808" w:type="dxa"/>
          </w:tcPr>
          <w:p w:rsidR="004F181F" w:rsidRDefault="0030302D">
            <w:r>
              <w:t>Date Reviewed:</w:t>
            </w:r>
          </w:p>
        </w:tc>
        <w:tc>
          <w:tcPr>
            <w:tcW w:w="6552" w:type="dxa"/>
            <w:gridSpan w:val="3"/>
          </w:tcPr>
          <w:p w:rsidR="004F181F" w:rsidRDefault="0030302D">
            <w:pPr>
              <w:rPr>
                <w:color w:val="FF0000"/>
              </w:rPr>
            </w:pPr>
            <w:r>
              <w:rPr>
                <w:color w:val="FF0000"/>
              </w:rPr>
              <w:t>Amb. Care PPP:</w:t>
            </w:r>
          </w:p>
          <w:p w:rsidR="004F181F" w:rsidRDefault="0030302D">
            <w:pPr>
              <w:rPr>
                <w:color w:val="FF0000"/>
              </w:rPr>
            </w:pPr>
            <w:r>
              <w:rPr>
                <w:color w:val="FF0000"/>
              </w:rPr>
              <w:t>QSOS:</w:t>
            </w:r>
          </w:p>
        </w:tc>
      </w:tr>
      <w:tr w:rsidR="004F181F">
        <w:tc>
          <w:tcPr>
            <w:tcW w:w="2808" w:type="dxa"/>
          </w:tcPr>
          <w:p w:rsidR="004F181F" w:rsidRDefault="004F181F"/>
        </w:tc>
        <w:tc>
          <w:tcPr>
            <w:tcW w:w="6552" w:type="dxa"/>
            <w:gridSpan w:val="3"/>
          </w:tcPr>
          <w:p w:rsidR="004F181F" w:rsidRDefault="004F181F">
            <w:pPr>
              <w:rPr>
                <w:i/>
              </w:rPr>
            </w:pPr>
          </w:p>
        </w:tc>
      </w:tr>
      <w:tr w:rsidR="004F181F">
        <w:trPr>
          <w:trHeight w:val="552"/>
        </w:trPr>
        <w:tc>
          <w:tcPr>
            <w:tcW w:w="7668" w:type="dxa"/>
            <w:gridSpan w:val="2"/>
            <w:tcBorders>
              <w:bottom w:val="single" w:sz="4" w:space="0" w:color="000000"/>
            </w:tcBorders>
            <w:vAlign w:val="center"/>
          </w:tcPr>
          <w:p w:rsidR="004F181F" w:rsidRDefault="004F181F"/>
          <w:p w:rsidR="004F181F" w:rsidRDefault="004F181F"/>
        </w:tc>
        <w:tc>
          <w:tcPr>
            <w:tcW w:w="736" w:type="dxa"/>
            <w:vAlign w:val="bottom"/>
          </w:tcPr>
          <w:p w:rsidR="004F181F" w:rsidRDefault="0030302D">
            <w:r>
              <w:t>Date: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4F181F" w:rsidRDefault="004F181F"/>
        </w:tc>
      </w:tr>
      <w:tr w:rsidR="004F181F">
        <w:trPr>
          <w:trHeight w:val="552"/>
        </w:trPr>
        <w:tc>
          <w:tcPr>
            <w:tcW w:w="7668" w:type="dxa"/>
            <w:gridSpan w:val="2"/>
            <w:tcBorders>
              <w:top w:val="single" w:sz="4" w:space="0" w:color="000000"/>
            </w:tcBorders>
            <w:vAlign w:val="center"/>
          </w:tcPr>
          <w:p w:rsidR="004F181F" w:rsidRDefault="0030302D">
            <w:r>
              <w:t>&lt;Insert Name&gt;</w:t>
            </w:r>
          </w:p>
          <w:p w:rsidR="004F181F" w:rsidRDefault="0030302D">
            <w:r>
              <w:rPr>
                <w:i/>
              </w:rPr>
              <w:t>&lt;Insert Title&gt;</w:t>
            </w:r>
          </w:p>
        </w:tc>
        <w:tc>
          <w:tcPr>
            <w:tcW w:w="736" w:type="dxa"/>
            <w:vAlign w:val="bottom"/>
          </w:tcPr>
          <w:p w:rsidR="004F181F" w:rsidRDefault="004F181F"/>
        </w:tc>
        <w:tc>
          <w:tcPr>
            <w:tcW w:w="956" w:type="dxa"/>
            <w:tcBorders>
              <w:top w:val="single" w:sz="4" w:space="0" w:color="000000"/>
            </w:tcBorders>
          </w:tcPr>
          <w:p w:rsidR="004F181F" w:rsidRDefault="004F181F"/>
        </w:tc>
      </w:tr>
      <w:tr w:rsidR="004F181F">
        <w:trPr>
          <w:trHeight w:val="552"/>
        </w:trPr>
        <w:tc>
          <w:tcPr>
            <w:tcW w:w="7668" w:type="dxa"/>
            <w:gridSpan w:val="2"/>
            <w:tcBorders>
              <w:bottom w:val="single" w:sz="4" w:space="0" w:color="000000"/>
            </w:tcBorders>
            <w:vAlign w:val="center"/>
          </w:tcPr>
          <w:p w:rsidR="004F181F" w:rsidRDefault="004F181F"/>
        </w:tc>
        <w:tc>
          <w:tcPr>
            <w:tcW w:w="736" w:type="dxa"/>
            <w:vAlign w:val="bottom"/>
          </w:tcPr>
          <w:p w:rsidR="004F181F" w:rsidRDefault="0030302D">
            <w:r>
              <w:t>Date: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4F181F" w:rsidRDefault="004F181F"/>
        </w:tc>
      </w:tr>
      <w:tr w:rsidR="004F181F">
        <w:trPr>
          <w:trHeight w:val="552"/>
        </w:trPr>
        <w:tc>
          <w:tcPr>
            <w:tcW w:w="7668" w:type="dxa"/>
            <w:gridSpan w:val="2"/>
            <w:tcBorders>
              <w:top w:val="single" w:sz="4" w:space="0" w:color="000000"/>
            </w:tcBorders>
            <w:vAlign w:val="center"/>
          </w:tcPr>
          <w:p w:rsidR="004F181F" w:rsidRDefault="0030302D">
            <w:r>
              <w:t>&lt;Insert Name&gt;</w:t>
            </w:r>
          </w:p>
          <w:p w:rsidR="004F181F" w:rsidRDefault="0030302D">
            <w:r>
              <w:rPr>
                <w:i/>
              </w:rPr>
              <w:t>&lt;Insert Title&gt;</w:t>
            </w:r>
          </w:p>
        </w:tc>
        <w:tc>
          <w:tcPr>
            <w:tcW w:w="736" w:type="dxa"/>
            <w:vAlign w:val="bottom"/>
          </w:tcPr>
          <w:p w:rsidR="004F181F" w:rsidRDefault="004F181F"/>
        </w:tc>
        <w:tc>
          <w:tcPr>
            <w:tcW w:w="956" w:type="dxa"/>
            <w:tcBorders>
              <w:top w:val="single" w:sz="4" w:space="0" w:color="000000"/>
            </w:tcBorders>
          </w:tcPr>
          <w:p w:rsidR="004F181F" w:rsidRDefault="004F181F"/>
        </w:tc>
      </w:tr>
      <w:tr w:rsidR="004F181F">
        <w:trPr>
          <w:trHeight w:val="552"/>
        </w:trPr>
        <w:tc>
          <w:tcPr>
            <w:tcW w:w="7668" w:type="dxa"/>
            <w:gridSpan w:val="2"/>
            <w:tcBorders>
              <w:bottom w:val="single" w:sz="4" w:space="0" w:color="000000"/>
            </w:tcBorders>
            <w:vAlign w:val="center"/>
          </w:tcPr>
          <w:p w:rsidR="004F181F" w:rsidRDefault="004F181F"/>
        </w:tc>
        <w:tc>
          <w:tcPr>
            <w:tcW w:w="736" w:type="dxa"/>
            <w:vAlign w:val="bottom"/>
          </w:tcPr>
          <w:p w:rsidR="004F181F" w:rsidRDefault="0030302D">
            <w:r>
              <w:t>Date: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4F181F" w:rsidRDefault="004F181F"/>
        </w:tc>
      </w:tr>
      <w:tr w:rsidR="004F181F">
        <w:trPr>
          <w:trHeight w:val="552"/>
        </w:trPr>
        <w:tc>
          <w:tcPr>
            <w:tcW w:w="7668" w:type="dxa"/>
            <w:gridSpan w:val="2"/>
            <w:tcBorders>
              <w:top w:val="single" w:sz="4" w:space="0" w:color="000000"/>
            </w:tcBorders>
            <w:vAlign w:val="center"/>
          </w:tcPr>
          <w:p w:rsidR="004F181F" w:rsidRDefault="0030302D">
            <w:r>
              <w:t>&lt;Insert Name&gt;</w:t>
            </w:r>
          </w:p>
          <w:p w:rsidR="004F181F" w:rsidRDefault="0030302D">
            <w:r>
              <w:t>&lt;Insert Hospital Name&gt; Chief Medical Officer</w:t>
            </w:r>
          </w:p>
        </w:tc>
        <w:tc>
          <w:tcPr>
            <w:tcW w:w="736" w:type="dxa"/>
            <w:vAlign w:val="bottom"/>
          </w:tcPr>
          <w:p w:rsidR="004F181F" w:rsidRDefault="004F181F"/>
        </w:tc>
        <w:tc>
          <w:tcPr>
            <w:tcW w:w="956" w:type="dxa"/>
            <w:tcBorders>
              <w:top w:val="single" w:sz="4" w:space="0" w:color="000000"/>
            </w:tcBorders>
          </w:tcPr>
          <w:p w:rsidR="004F181F" w:rsidRDefault="004F181F"/>
        </w:tc>
      </w:tr>
      <w:tr w:rsidR="004F181F">
        <w:trPr>
          <w:trHeight w:val="552"/>
        </w:trPr>
        <w:tc>
          <w:tcPr>
            <w:tcW w:w="7668" w:type="dxa"/>
            <w:gridSpan w:val="2"/>
            <w:tcBorders>
              <w:bottom w:val="single" w:sz="4" w:space="0" w:color="000000"/>
            </w:tcBorders>
            <w:vAlign w:val="center"/>
          </w:tcPr>
          <w:p w:rsidR="004F181F" w:rsidRDefault="004F181F"/>
        </w:tc>
        <w:tc>
          <w:tcPr>
            <w:tcW w:w="736" w:type="dxa"/>
            <w:vAlign w:val="bottom"/>
          </w:tcPr>
          <w:p w:rsidR="004F181F" w:rsidRDefault="0030302D">
            <w:r>
              <w:t>Date: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4F181F" w:rsidRDefault="004F181F"/>
        </w:tc>
      </w:tr>
      <w:tr w:rsidR="004F181F">
        <w:trPr>
          <w:trHeight w:val="552"/>
        </w:trPr>
        <w:tc>
          <w:tcPr>
            <w:tcW w:w="7668" w:type="dxa"/>
            <w:gridSpan w:val="2"/>
            <w:tcBorders>
              <w:top w:val="single" w:sz="4" w:space="0" w:color="000000"/>
            </w:tcBorders>
            <w:vAlign w:val="center"/>
          </w:tcPr>
          <w:p w:rsidR="004F181F" w:rsidRDefault="0030302D">
            <w:r>
              <w:t>&lt;Insert Name&gt;</w:t>
            </w:r>
          </w:p>
          <w:p w:rsidR="004F181F" w:rsidRDefault="0030302D">
            <w:r>
              <w:t>&lt;Insert Hospital Name&gt; Chief Nursing Executive</w:t>
            </w:r>
          </w:p>
        </w:tc>
        <w:tc>
          <w:tcPr>
            <w:tcW w:w="736" w:type="dxa"/>
            <w:vAlign w:val="bottom"/>
          </w:tcPr>
          <w:p w:rsidR="004F181F" w:rsidRDefault="004F181F"/>
        </w:tc>
        <w:tc>
          <w:tcPr>
            <w:tcW w:w="956" w:type="dxa"/>
            <w:tcBorders>
              <w:top w:val="single" w:sz="4" w:space="0" w:color="000000"/>
            </w:tcBorders>
          </w:tcPr>
          <w:p w:rsidR="004F181F" w:rsidRDefault="004F181F"/>
        </w:tc>
      </w:tr>
    </w:tbl>
    <w:p w:rsidR="004F181F" w:rsidRDefault="004F181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</w:rPr>
      </w:pPr>
    </w:p>
    <w:sectPr w:rsidR="004F1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302D">
      <w:r>
        <w:separator/>
      </w:r>
    </w:p>
  </w:endnote>
  <w:endnote w:type="continuationSeparator" w:id="0">
    <w:p w:rsidR="00000000" w:rsidRDefault="0030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1F" w:rsidRDefault="004F1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1F" w:rsidRDefault="003030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&lt;</w:t>
    </w:r>
    <w:r>
      <w:t>Malignant Hyperthermia</w:t>
    </w:r>
    <w:r>
      <w:rPr>
        <w:color w:val="000000"/>
      </w:rPr>
      <w:t xml:space="preserve">&gt;, 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4</w:t>
    </w:r>
    <w:r>
      <w:rPr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1F" w:rsidRDefault="003030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4</w:t>
    </w:r>
    <w:r>
      <w:rPr>
        <w:b/>
        <w:color w:val="000000"/>
      </w:rPr>
      <w:fldChar w:fldCharType="end"/>
    </w:r>
  </w:p>
  <w:p w:rsidR="004F181F" w:rsidRDefault="004F1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302D">
      <w:r>
        <w:separator/>
      </w:r>
    </w:p>
  </w:footnote>
  <w:footnote w:type="continuationSeparator" w:id="0">
    <w:p w:rsidR="00000000" w:rsidRDefault="0030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1F" w:rsidRDefault="004F1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1F" w:rsidRDefault="004F1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81F" w:rsidRDefault="004F181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9360" w:type="dxa"/>
      <w:tblLayout w:type="fixed"/>
      <w:tblLook w:val="0000" w:firstRow="0" w:lastRow="0" w:firstColumn="0" w:lastColumn="0" w:noHBand="0" w:noVBand="0"/>
    </w:tblPr>
    <w:tblGrid>
      <w:gridCol w:w="5616"/>
      <w:gridCol w:w="429"/>
      <w:gridCol w:w="771"/>
      <w:gridCol w:w="2544"/>
    </w:tblGrid>
    <w:tr w:rsidR="004F181F">
      <w:trPr>
        <w:trHeight w:val="1260"/>
      </w:trPr>
      <w:tc>
        <w:tcPr>
          <w:tcW w:w="5616" w:type="dxa"/>
        </w:tcPr>
        <w:p w:rsidR="004F181F" w:rsidRDefault="004F181F">
          <w:pPr>
            <w:widowControl w:val="0"/>
            <w:rPr>
              <w:sz w:val="22"/>
              <w:szCs w:val="22"/>
            </w:rPr>
          </w:pPr>
        </w:p>
        <w:p w:rsidR="004F181F" w:rsidRDefault="0030302D">
          <w:pPr>
            <w:widowControl w:val="0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3429000" cy="904875"/>
                <wp:effectExtent l="0" t="0" r="0" b="0"/>
                <wp:docPr id="5" name="image1.png" descr="A picture containing knif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knif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dxa"/>
        </w:tcPr>
        <w:p w:rsidR="004F181F" w:rsidRDefault="004F181F">
          <w:pPr>
            <w:widowControl w:val="0"/>
            <w:rPr>
              <w:sz w:val="22"/>
              <w:szCs w:val="22"/>
            </w:rPr>
          </w:pPr>
        </w:p>
      </w:tc>
      <w:tc>
        <w:tcPr>
          <w:tcW w:w="3315" w:type="dxa"/>
          <w:gridSpan w:val="2"/>
          <w:vAlign w:val="center"/>
        </w:tcPr>
        <w:p w:rsidR="004F181F" w:rsidRDefault="0030302D">
          <w:pPr>
            <w:keepNext/>
            <w:spacing w:after="60"/>
            <w:ind w:right="-108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Departmental Clinical Protocol Manual</w:t>
          </w:r>
        </w:p>
      </w:tc>
    </w:tr>
    <w:tr w:rsidR="004F181F">
      <w:trPr>
        <w:trHeight w:val="343"/>
      </w:trPr>
      <w:tc>
        <w:tcPr>
          <w:tcW w:w="6816" w:type="dxa"/>
          <w:gridSpan w:val="3"/>
          <w:tcBorders>
            <w:top w:val="single" w:sz="18" w:space="0" w:color="000000"/>
            <w:bottom w:val="single" w:sz="18" w:space="0" w:color="000000"/>
          </w:tcBorders>
        </w:tcPr>
        <w:p w:rsidR="004F181F" w:rsidRDefault="0030302D">
          <w:pPr>
            <w:keepNext/>
            <w:tabs>
              <w:tab w:val="left" w:pos="4425"/>
            </w:tabs>
            <w:spacing w:before="240" w:after="240" w:line="280" w:lineRule="auto"/>
            <w:ind w:left="-108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Clinical Protocol                                                  </w:t>
          </w:r>
        </w:p>
      </w:tc>
      <w:tc>
        <w:tcPr>
          <w:tcW w:w="2544" w:type="dxa"/>
          <w:tcBorders>
            <w:top w:val="single" w:sz="18" w:space="0" w:color="000000"/>
            <w:bottom w:val="single" w:sz="18" w:space="0" w:color="000000"/>
          </w:tcBorders>
        </w:tcPr>
        <w:p w:rsidR="004F181F" w:rsidRDefault="0030302D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610"/>
            </w:tabs>
            <w:spacing w:before="240" w:after="240" w:line="280" w:lineRule="auto"/>
            <w:ind w:right="-90"/>
            <w:jc w:val="right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CP.XX.xxx</w:t>
          </w:r>
        </w:p>
      </w:tc>
    </w:tr>
  </w:tbl>
  <w:p w:rsidR="004F181F" w:rsidRDefault="004F18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248"/>
    <w:multiLevelType w:val="multilevel"/>
    <w:tmpl w:val="2A7EA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117002"/>
    <w:multiLevelType w:val="multilevel"/>
    <w:tmpl w:val="AD46F4EC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bullet"/>
      <w:lvlText w:val="−"/>
      <w:lvlJc w:val="left"/>
      <w:pPr>
        <w:ind w:left="3600" w:hanging="7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7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C830F5"/>
    <w:multiLevelType w:val="multilevel"/>
    <w:tmpl w:val="B3E289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9C4A87"/>
    <w:multiLevelType w:val="multilevel"/>
    <w:tmpl w:val="B2109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DD5E9A"/>
    <w:multiLevelType w:val="multilevel"/>
    <w:tmpl w:val="FFE0E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ED7A7C"/>
    <w:multiLevelType w:val="multilevel"/>
    <w:tmpl w:val="781664EA"/>
    <w:lvl w:ilvl="0">
      <w:start w:val="1"/>
      <w:numFmt w:val="upperLetter"/>
      <w:pStyle w:val="PolicyOutline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4">
      <w:start w:val="1"/>
      <w:numFmt w:val="bullet"/>
      <w:lvlText w:val="−"/>
      <w:lvlJc w:val="left"/>
      <w:pPr>
        <w:ind w:left="3600" w:hanging="7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7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F"/>
    <w:rsid w:val="0030302D"/>
    <w:rsid w:val="004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31E1AF0"/>
  <w15:docId w15:val="{A35A8DF9-2B36-435A-A95C-36E4C4B1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F26"/>
  </w:style>
  <w:style w:type="paragraph" w:styleId="Heading1">
    <w:name w:val="heading 1"/>
    <w:aliases w:val="Policy Sections"/>
    <w:basedOn w:val="Normal"/>
    <w:next w:val="Normal"/>
    <w:link w:val="Heading1Char"/>
    <w:unhideWhenUsed/>
    <w:qFormat/>
    <w:rsid w:val="00B81ABF"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61B8A"/>
    <w:pPr>
      <w:keepNext/>
      <w:outlineLvl w:val="1"/>
    </w:pPr>
    <w:rPr>
      <w:rFonts w:ascii="CG Times (WN)" w:hAnsi="CG Times (WN)"/>
      <w:szCs w:val="20"/>
    </w:rPr>
  </w:style>
  <w:style w:type="paragraph" w:styleId="Heading3">
    <w:name w:val="heading 3"/>
    <w:aliases w:val="References"/>
    <w:basedOn w:val="Header"/>
    <w:next w:val="Normal"/>
    <w:link w:val="Heading3Char"/>
    <w:uiPriority w:val="9"/>
    <w:unhideWhenUsed/>
    <w:qFormat/>
    <w:rsid w:val="0016021C"/>
    <w:pPr>
      <w:tabs>
        <w:tab w:val="clear" w:pos="4680"/>
        <w:tab w:val="clear" w:pos="9360"/>
      </w:tabs>
      <w:ind w:left="1440" w:hanging="7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50D"/>
    <w:pPr>
      <w:keepNext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5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553E"/>
    <w:pPr>
      <w:keepNext/>
      <w:tabs>
        <w:tab w:val="left" w:pos="4610"/>
      </w:tabs>
      <w:spacing w:before="240" w:after="240" w:line="280" w:lineRule="exact"/>
      <w:ind w:right="-90"/>
      <w:jc w:val="right"/>
      <w:outlineLvl w:val="6"/>
    </w:pPr>
    <w:rPr>
      <w:b/>
      <w:bCs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4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54EF"/>
    <w:pPr>
      <w:keepNext/>
      <w:framePr w:hSpace="180" w:wrap="around" w:vAnchor="text" w:hAnchor="margin" w:y="50"/>
      <w:outlineLvl w:val="8"/>
    </w:pPr>
    <w:rPr>
      <w:i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56F26"/>
    <w:pPr>
      <w:ind w:left="720"/>
      <w:contextualSpacing/>
    </w:pPr>
  </w:style>
  <w:style w:type="paragraph" w:customStyle="1" w:styleId="PolicyOutline">
    <w:name w:val="Policy Outline"/>
    <w:basedOn w:val="ListParagraph"/>
    <w:qFormat/>
    <w:rsid w:val="00A23EE4"/>
    <w:pPr>
      <w:numPr>
        <w:numId w:val="6"/>
      </w:numPr>
      <w:spacing w:before="240" w:after="240"/>
      <w:contextualSpacing w:val="0"/>
    </w:pPr>
  </w:style>
  <w:style w:type="character" w:styleId="IntenseReference">
    <w:name w:val="Intense Reference"/>
    <w:basedOn w:val="DefaultParagraphFont"/>
    <w:uiPriority w:val="32"/>
    <w:rsid w:val="00EF36E8"/>
    <w:rPr>
      <w:b/>
      <w:bCs/>
      <w:smallCaps/>
      <w:color w:val="4F81BD" w:themeColor="accent1"/>
      <w:spacing w:val="5"/>
    </w:rPr>
  </w:style>
  <w:style w:type="character" w:customStyle="1" w:styleId="Heading1Char">
    <w:name w:val="Heading 1 Char"/>
    <w:aliases w:val="Policy Sections Char"/>
    <w:basedOn w:val="DefaultParagraphFont"/>
    <w:link w:val="Heading1"/>
    <w:rsid w:val="00B81ABF"/>
    <w:rPr>
      <w:rFonts w:ascii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61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B8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1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B8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661B8A"/>
    <w:rPr>
      <w:rFonts w:ascii="CG Times (WN)" w:eastAsia="Times New Roman" w:hAnsi="CG Times (WN)" w:cs="Times New Roman"/>
      <w:sz w:val="24"/>
      <w:szCs w:val="20"/>
    </w:rPr>
  </w:style>
  <w:style w:type="character" w:customStyle="1" w:styleId="Heading3Char">
    <w:name w:val="Heading 3 Char"/>
    <w:aliases w:val="References Char"/>
    <w:basedOn w:val="DefaultParagraphFont"/>
    <w:link w:val="Heading3"/>
    <w:uiPriority w:val="9"/>
    <w:rsid w:val="0016021C"/>
    <w:rPr>
      <w:rFonts w:ascii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650D"/>
    <w:rPr>
      <w:rFonts w:ascii="Times New Roman" w:eastAsia="Times New Roman" w:hAnsi="Times New Roman" w:cs="Times New Roman"/>
      <w:i/>
      <w:color w:val="FF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E650D"/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FE650D"/>
    <w:rPr>
      <w:rFonts w:ascii="Times New Roman" w:hAnsi="Times New Roman" w:cs="Times New Roman"/>
      <w:i/>
      <w:color w:val="FF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53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53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8553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04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04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04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46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4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454EF"/>
    <w:rPr>
      <w:rFonts w:ascii="Times New Roman" w:hAnsi="Times New Roman" w:cs="Times New Roman"/>
      <w:i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023B0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B0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2ZT9j43mVPiPfu7ZKcFXBO429w==">AMUW2mWnA9PxW9SOYYEaJwPshccvS5SerXRaNN5+62wTLuWaiFQHlNvBh4P/izlxZOph7nx6X/7tdRF2kEDeTYaQFV+y91EJx5yHuLFHn+Blkq0T+lXCEscmLMp90mORIPWOmyeYijmcEr9EDahuDOYKe04sMKurpkqFSFYlqYcrWNCqImzDRG07XM0cUee/iI/PjjGO9AUb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Helmick, Shahna L</dc:creator>
  <cp:lastModifiedBy>Osazemwinde, Juliet</cp:lastModifiedBy>
  <cp:revision>2</cp:revision>
  <dcterms:created xsi:type="dcterms:W3CDTF">2021-01-25T19:52:00Z</dcterms:created>
  <dcterms:modified xsi:type="dcterms:W3CDTF">2021-01-25T19:52:00Z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0x0101004989281822E0D845A9CE63CC5ECA5922</vt:lpwstr>
  </property>
</Properties>
</file>